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90" w:tblpY="1037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5520"/>
        <w:gridCol w:w="2924"/>
        <w:gridCol w:w="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方案名称</w:t>
            </w:r>
          </w:p>
        </w:tc>
        <w:tc>
          <w:tcPr>
            <w:tcW w:w="12871" w:type="dxa"/>
            <w:gridSpan w:val="3"/>
            <w:vAlign w:val="center"/>
          </w:tcPr>
          <w:p>
            <w:pPr>
              <w:jc w:val="center"/>
              <w:rPr>
                <w:rFonts w:ascii="Simang"/>
                <w:b/>
                <w:sz w:val="32"/>
                <w:szCs w:val="32"/>
                <w:lang w:eastAsia="zh-TW"/>
              </w:rPr>
            </w:pPr>
            <w:r>
              <w:rPr>
                <w:rFonts w:hint="eastAsia" w:ascii="Simang" w:hAnsi="Simang" w:cs="PMingLiU"/>
                <w:b/>
                <w:sz w:val="32"/>
                <w:szCs w:val="32"/>
                <w:lang w:eastAsia="zh-TW"/>
              </w:rPr>
              <w:t>同濟主料分段計量修改方案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客户名称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Simang" w:cs="PMingLiU"/>
                <w:bCs/>
              </w:rPr>
            </w:pPr>
            <w:r>
              <w:rPr>
                <w:rFonts w:hint="eastAsia" w:ascii="Simang" w:hAnsi="Simang"/>
                <w:sz w:val="24"/>
              </w:rPr>
              <w:t>无锡同济公司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ascii="Simang" w:cs="PMingLiU"/>
                <w:bCs/>
              </w:rPr>
            </w:pPr>
            <w:r>
              <w:rPr>
                <w:rFonts w:hint="eastAsia" w:ascii="Simang" w:hAnsi="Simang" w:cs="PMingLiU"/>
                <w:bCs/>
                <w:sz w:val="24"/>
              </w:rPr>
              <w:t>作成日期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ascii="Simang" w:eastAsia="Times New Roman"/>
                <w:lang w:eastAsia="zh-TW"/>
              </w:rPr>
            </w:pPr>
            <w:r>
              <w:rPr>
                <w:rFonts w:ascii="Simang" w:hAnsi="Simang"/>
                <w:sz w:val="24"/>
              </w:rPr>
              <w:t>2018/9/1</w:t>
            </w:r>
            <w:r>
              <w:rPr>
                <w:rFonts w:ascii="Simang"/>
                <w:sz w:val="24"/>
                <w:lang w:eastAsia="zh-TW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作成人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Simang"/>
              </w:rPr>
            </w:pPr>
            <w:r>
              <w:rPr>
                <w:rFonts w:hint="eastAsia" w:ascii="Simang" w:hAnsi="Simang"/>
              </w:rPr>
              <w:t>钱昌胜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审核人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ascii="Simang"/>
              </w:rPr>
            </w:pPr>
            <w:r>
              <w:rPr>
                <w:rFonts w:hint="eastAsia" w:ascii="Simang"/>
                <w:sz w:val="24"/>
              </w:rPr>
              <w:t>许经理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客户要求</w:t>
            </w:r>
          </w:p>
        </w:tc>
        <w:tc>
          <w:tcPr>
            <w:tcW w:w="12871" w:type="dxa"/>
            <w:gridSpan w:val="3"/>
            <w:vAlign w:val="center"/>
          </w:tcPr>
          <w:p>
            <w:pP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  <w:t>1:保留原有计量方式（即PVC和CaCO3单独计量，在存储桶同时排料到高混机）粉体液体计量同时进行。</w:t>
            </w:r>
          </w:p>
          <w:p>
            <w:pP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  <w:t>2：新增计量方式：</w:t>
            </w:r>
          </w:p>
          <w:p>
            <w:pP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  <w:t>①先计量PVC，排放后再计量CaCO3，CaCO3人工排放后，方可计量下一批次PVC和CaCO3直至设定批次数停止。</w:t>
            </w:r>
          </w:p>
          <w:p>
            <w:pP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MingLiU" w:hAnsi="MingLiU" w:eastAsia="宋体"/>
                <w:kern w:val="0"/>
                <w:sz w:val="24"/>
                <w:lang w:val="en-US" w:eastAsia="zh-CN"/>
              </w:rPr>
              <w:t>②若当前批次中间桶分段排料还没排完，下一批次液，粉计量桶都不能排料，特殊情况，人机画面改手动操作。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解决方案</w:t>
            </w:r>
          </w:p>
        </w:tc>
        <w:tc>
          <w:tcPr>
            <w:tcW w:w="12871" w:type="dxa"/>
            <w:gridSpan w:val="3"/>
          </w:tcPr>
          <w:p>
            <w:pPr>
              <w:pStyle w:val="12"/>
              <w:spacing w:beforeLines="50"/>
              <w:ind w:firstLine="315" w:firstLineChars="150"/>
              <w:rPr>
                <w:rFonts w:ascii="MingLiU" w:hAnsi="MingLiU" w:eastAsia="MingLiU"/>
                <w:sz w:val="24"/>
              </w:rPr>
            </w:pPr>
            <w:r>
              <w:rPr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462915</wp:posOffset>
                      </wp:positionV>
                      <wp:extent cx="1714500" cy="891540"/>
                      <wp:effectExtent l="0" t="17145" r="22860" b="5715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0" cy="89154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x;margin-left:58.85pt;margin-top:36.45pt;height:70.2pt;width:135pt;z-index:251658240;mso-width-relative:page;mso-height-relative:page;" filled="f" stroked="t" coordsize="21600,21600" o:gfxdata="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17e+NcAAAAK&#10;AQAADwAAAAAAAAABACAAAAAiAAAAZHJzL2Rvd25yZXYueG1sUEsBAhQAFAAAAAgAh07iQGRrc0jk&#10;AQAAoQMAAA4AAAAAAAAAAQAgAAAAJgEAAGRycy9lMm9Eb2MueG1sUEsFBgAAAAAGAAYAWQEAAHwF&#10;AAAAAA==&#10;">
                      <v:fill on="f" focussize="0,0"/>
                      <v:stroke weight="3pt" color="#FF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MingLiU" w:hAnsi="MingLiU" w:eastAsia="宋体"/>
                <w:sz w:val="24"/>
              </w:rPr>
              <w:t>1.</w:t>
            </w:r>
            <w:r>
              <w:rPr>
                <w:rFonts w:hint="eastAsia" w:ascii="MingLiU" w:hAnsi="MingLiU" w:eastAsia="宋体"/>
                <w:sz w:val="24"/>
              </w:rPr>
              <w:t>粉体配方分段计量设置如下</w:t>
            </w:r>
            <w:r>
              <w:rPr>
                <w:rFonts w:ascii="MingLiU" w:hAnsi="MingLiU" w:eastAsia="宋体"/>
                <w:sz w:val="24"/>
              </w:rPr>
              <w:t>:</w:t>
            </w:r>
            <w:r>
              <w:rPr>
                <w:rFonts w:hint="eastAsia" w:ascii="MingLiU" w:hAnsi="MingLiU" w:eastAsia="宋体"/>
                <w:sz w:val="24"/>
              </w:rPr>
              <w:t>分一次目标和二次目标</w:t>
            </w:r>
          </w:p>
          <w:p>
            <w:pPr>
              <w:pStyle w:val="12"/>
              <w:spacing w:beforeLines="50"/>
              <w:ind w:left="360" w:firstLine="0" w:firstLineChars="0"/>
              <w:rPr>
                <w:rFonts w:ascii="MingLiU" w:hAnsi="MingLiU" w:eastAsia="MingLiU"/>
                <w:szCs w:val="21"/>
              </w:rPr>
            </w:pPr>
            <w:r>
              <w:rPr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859155</wp:posOffset>
                      </wp:positionV>
                      <wp:extent cx="800100" cy="693420"/>
                      <wp:effectExtent l="19050" t="19050" r="19050" b="1905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9342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3.85pt;margin-top:67.65pt;height:54.6pt;width:63pt;z-index:251657216;mso-width-relative:page;mso-height-relative:page;" filled="f" stroked="t" coordsize="21600,21600" o:gfxdata="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+lsfdcAAAAKAQAADwAAAAAA&#10;AAABACAAAAAiAAAAZHJzL2Rvd25yZXYueG1sUEsBAhQAFAAAAAgAh07iQGoUBBjbAQAApwMAAA4A&#10;AAAAAAAAAQAgAAAAJgEAAGRycy9lMm9Eb2MueG1sUEsFBgAAAAAGAAYAWQEAAHMFAAAAAA==&#10;">
                      <v:fill on="f" focussize="0,0"/>
                      <v:stroke weight="3pt"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MingLiU" w:hAnsi="MingLiU" w:eastAsia="MingLiU"/>
                <w:szCs w:val="21"/>
                <w:lang w:eastAsia="zh-TW"/>
              </w:rPr>
              <w:drawing>
                <wp:inline distT="0" distB="0" distL="114300" distR="114300">
                  <wp:extent cx="6772275" cy="1228725"/>
                  <wp:effectExtent l="0" t="0" r="9525" b="57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2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pacing w:beforeLines="50"/>
              <w:ind w:left="360" w:firstLine="0" w:firstLineChars="0"/>
              <w:rPr>
                <w:rFonts w:ascii="MingLiU" w:hAnsi="MingLiU" w:eastAsia="MingLiU"/>
                <w:sz w:val="24"/>
              </w:rPr>
            </w:pPr>
            <w:r>
              <w:rPr>
                <w:rFonts w:ascii="MingLiU" w:hAnsi="MingLiU" w:eastAsia="宋体"/>
                <w:sz w:val="24"/>
              </w:rPr>
              <w:t>2.</w:t>
            </w:r>
            <w:r>
              <w:rPr>
                <w:rFonts w:hint="eastAsia" w:ascii="MingLiU" w:hAnsi="MingLiU" w:eastAsia="宋体"/>
                <w:sz w:val="24"/>
              </w:rPr>
              <w:t>例如</w:t>
            </w:r>
            <w:r>
              <w:rPr>
                <w:rFonts w:ascii="MingLiU" w:hAnsi="MingLiU" w:eastAsia="宋体"/>
                <w:sz w:val="24"/>
              </w:rPr>
              <w:t>:</w:t>
            </w:r>
            <w:r>
              <w:rPr>
                <w:rFonts w:hint="eastAsia" w:ascii="MingLiU" w:hAnsi="MingLiU" w:eastAsia="宋体"/>
                <w:sz w:val="24"/>
              </w:rPr>
              <w:t>配方</w:t>
            </w:r>
            <w:r>
              <w:rPr>
                <w:rFonts w:ascii="MingLiU" w:hAnsi="MingLiU" w:eastAsia="宋体"/>
                <w:sz w:val="24"/>
              </w:rPr>
              <w:t>PVC</w:t>
            </w:r>
            <w:r>
              <w:rPr>
                <w:rFonts w:hint="eastAsia" w:ascii="MingLiU" w:hAnsi="MingLiU" w:eastAsia="宋体"/>
                <w:sz w:val="24"/>
              </w:rPr>
              <w:t>及碳酸钙需分段计量</w:t>
            </w:r>
            <w:r>
              <w:rPr>
                <w:rFonts w:ascii="MingLiU" w:hAnsi="MingLiU" w:eastAsia="宋体"/>
                <w:sz w:val="24"/>
              </w:rPr>
              <w:t>,</w:t>
            </w:r>
            <w:r>
              <w:rPr>
                <w:rFonts w:hint="eastAsia" w:ascii="MingLiU" w:hAnsi="MingLiU" w:eastAsia="宋体"/>
                <w:sz w:val="24"/>
              </w:rPr>
              <w:t>一次目标一号桶</w:t>
            </w:r>
            <w:r>
              <w:rPr>
                <w:rFonts w:ascii="MingLiU" w:hAnsi="MingLiU" w:eastAsia="宋体"/>
                <w:sz w:val="24"/>
              </w:rPr>
              <w:t>PVC</w:t>
            </w:r>
            <w:r>
              <w:rPr>
                <w:rFonts w:hint="eastAsia" w:ascii="MingLiU" w:hAnsi="MingLiU" w:eastAsia="宋体"/>
                <w:sz w:val="24"/>
              </w:rPr>
              <w:t>设</w:t>
            </w:r>
            <w:r>
              <w:rPr>
                <w:rFonts w:ascii="MingLiU" w:hAnsi="MingLiU" w:eastAsia="宋体"/>
                <w:sz w:val="24"/>
              </w:rPr>
              <w:t>10KG,</w:t>
            </w:r>
            <w:r>
              <w:rPr>
                <w:rFonts w:hint="eastAsia" w:ascii="MingLiU" w:hAnsi="MingLiU" w:eastAsia="宋体"/>
                <w:sz w:val="24"/>
              </w:rPr>
              <w:t>二次目标二号桶碳酸钙设</w:t>
            </w:r>
            <w:r>
              <w:rPr>
                <w:rFonts w:ascii="MingLiU" w:hAnsi="MingLiU" w:eastAsia="宋体"/>
                <w:sz w:val="24"/>
              </w:rPr>
              <w:t>5KG,</w:t>
            </w:r>
            <w:r>
              <w:rPr>
                <w:rFonts w:hint="eastAsia" w:ascii="MingLiU" w:hAnsi="MingLiU" w:eastAsia="宋体"/>
                <w:sz w:val="24"/>
              </w:rPr>
              <w:t>当第一段</w:t>
            </w:r>
            <w:r>
              <w:rPr>
                <w:rFonts w:ascii="MingLiU" w:hAnsi="MingLiU" w:eastAsia="宋体"/>
                <w:sz w:val="24"/>
              </w:rPr>
              <w:t>PVC</w:t>
            </w:r>
            <w:r>
              <w:rPr>
                <w:rFonts w:hint="eastAsia" w:ascii="MingLiU" w:hAnsi="MingLiU" w:eastAsia="宋体"/>
                <w:sz w:val="24"/>
              </w:rPr>
              <w:t>计量完成排料后才会进行第二段碳酸钙计量</w:t>
            </w:r>
            <w:r>
              <w:rPr>
                <w:rFonts w:ascii="MingLiU" w:hAnsi="MingLiU" w:eastAsia="宋体"/>
                <w:sz w:val="24"/>
              </w:rPr>
              <w:t>.</w:t>
            </w:r>
          </w:p>
          <w:p>
            <w:pPr>
              <w:pStyle w:val="12"/>
              <w:spacing w:beforeLines="50"/>
              <w:ind w:left="360" w:firstLine="0" w:firstLineChars="0"/>
              <w:rPr>
                <w:rFonts w:ascii="MingLiU" w:hAnsi="MingLiU" w:eastAsia="MingLiU"/>
                <w:sz w:val="24"/>
              </w:rPr>
            </w:pPr>
            <w:r>
              <w:rPr>
                <w:rFonts w:ascii="MingLiU" w:hAnsi="MingLiU" w:eastAsia="宋体"/>
                <w:sz w:val="24"/>
              </w:rPr>
              <w:t>3.</w:t>
            </w:r>
            <w:r>
              <w:rPr>
                <w:rFonts w:hint="eastAsia" w:ascii="MingLiU" w:hAnsi="MingLiU" w:eastAsia="宋体"/>
                <w:sz w:val="24"/>
              </w:rPr>
              <w:t>当液磅计量完成后</w:t>
            </w:r>
            <w:r>
              <w:rPr>
                <w:rFonts w:ascii="MingLiU" w:hAnsi="MingLiU" w:eastAsia="宋体"/>
                <w:sz w:val="24"/>
              </w:rPr>
              <w:t>,</w:t>
            </w:r>
            <w:r>
              <w:rPr>
                <w:rFonts w:hint="eastAsia" w:ascii="MingLiU" w:hAnsi="MingLiU" w:eastAsia="宋体"/>
                <w:sz w:val="24"/>
              </w:rPr>
              <w:t>液磅自动将液料排到液体中间桶</w:t>
            </w:r>
            <w:r>
              <w:rPr>
                <w:rFonts w:ascii="MingLiU" w:hAnsi="MingLiU" w:eastAsia="宋体"/>
                <w:sz w:val="24"/>
              </w:rPr>
              <w:t xml:space="preserve">, </w:t>
            </w:r>
            <w:r>
              <w:rPr>
                <w:rFonts w:hint="eastAsia" w:ascii="MingLiU" w:hAnsi="MingLiU" w:eastAsia="宋体"/>
                <w:sz w:val="24"/>
              </w:rPr>
              <w:t>待液磅排料完成及粉体计量完成</w:t>
            </w:r>
            <w:r>
              <w:rPr>
                <w:rFonts w:ascii="MingLiU" w:hAnsi="MingLiU" w:eastAsia="宋体"/>
                <w:sz w:val="24"/>
              </w:rPr>
              <w:t xml:space="preserve">, </w:t>
            </w:r>
            <w:r>
              <w:rPr>
                <w:rFonts w:hint="eastAsia" w:ascii="MingLiU" w:hAnsi="MingLiU" w:eastAsia="宋体"/>
                <w:sz w:val="24"/>
              </w:rPr>
              <w:t>员工按下排料按钮，粉料磅桶将原料全部排到混合机</w:t>
            </w:r>
            <w:r>
              <w:rPr>
                <w:rFonts w:ascii="MingLiU" w:hAnsi="MingLiU" w:eastAsia="宋体"/>
                <w:sz w:val="24"/>
              </w:rPr>
              <w:t xml:space="preserve">, </w:t>
            </w:r>
            <w:r>
              <w:rPr>
                <w:rFonts w:hint="eastAsia" w:ascii="MingLiU" w:hAnsi="MingLiU" w:eastAsia="宋体"/>
                <w:sz w:val="24"/>
              </w:rPr>
              <w:t>排料完成系统即将判断粉体是否有二次目标值</w:t>
            </w:r>
            <w:r>
              <w:rPr>
                <w:rFonts w:ascii="MingLiU" w:hAnsi="MingLiU" w:eastAsia="宋体"/>
                <w:sz w:val="24"/>
              </w:rPr>
              <w:t>,</w:t>
            </w:r>
            <w:r>
              <w:rPr>
                <w:rFonts w:hint="eastAsia" w:ascii="MingLiU" w:hAnsi="MingLiU" w:eastAsia="宋体"/>
                <w:sz w:val="24"/>
              </w:rPr>
              <w:t>若有</w:t>
            </w:r>
            <w:r>
              <w:rPr>
                <w:rFonts w:ascii="MingLiU" w:hAnsi="MingLiU" w:eastAsia="宋体"/>
                <w:sz w:val="24"/>
              </w:rPr>
              <w:t>,</w:t>
            </w:r>
            <w:r>
              <w:rPr>
                <w:rFonts w:hint="eastAsia" w:ascii="MingLiU" w:hAnsi="MingLiU" w:eastAsia="宋体"/>
                <w:sz w:val="24"/>
              </w:rPr>
              <w:t>粉体将再次开始计量</w:t>
            </w:r>
            <w:r>
              <w:rPr>
                <w:rFonts w:ascii="MingLiU" w:hAnsi="MingLiU" w:eastAsia="宋体"/>
                <w:sz w:val="24"/>
              </w:rPr>
              <w:t>,</w:t>
            </w:r>
            <w:r>
              <w:rPr>
                <w:rFonts w:hint="eastAsia" w:ascii="MingLiU" w:hAnsi="MingLiU" w:eastAsia="宋体"/>
                <w:sz w:val="24"/>
              </w:rPr>
              <w:t>计量完成</w:t>
            </w:r>
            <w:r>
              <w:rPr>
                <w:rFonts w:ascii="MingLiU" w:hAnsi="MingLiU" w:eastAsia="宋体"/>
                <w:sz w:val="24"/>
              </w:rPr>
              <w:t>,</w:t>
            </w:r>
            <w:r>
              <w:rPr>
                <w:rFonts w:hint="eastAsia" w:ascii="MingLiU" w:hAnsi="MingLiU" w:eastAsia="宋体"/>
                <w:sz w:val="24"/>
              </w:rPr>
              <w:t>等待员工手动排料</w:t>
            </w:r>
            <w:r>
              <w:rPr>
                <w:rFonts w:ascii="MingLiU" w:hAnsi="MingLiU" w:eastAsia="宋体"/>
                <w:sz w:val="24"/>
              </w:rPr>
              <w:t>.</w:t>
            </w:r>
            <w:r>
              <w:rPr>
                <w:rFonts w:hint="eastAsia" w:ascii="MingLiU" w:hAnsi="MingLiU" w:eastAsia="宋体"/>
                <w:sz w:val="24"/>
              </w:rPr>
              <w:t>排料完成时</w:t>
            </w:r>
            <w:r>
              <w:rPr>
                <w:rFonts w:ascii="MingLiU" w:hAnsi="MingLiU" w:eastAsia="宋体"/>
                <w:sz w:val="24"/>
              </w:rPr>
              <w:t xml:space="preserve">, </w:t>
            </w:r>
            <w:r>
              <w:rPr>
                <w:rFonts w:hint="eastAsia" w:ascii="MingLiU" w:hAnsi="MingLiU" w:eastAsia="宋体"/>
                <w:sz w:val="24"/>
              </w:rPr>
              <w:t>粉料磅秤和液体磅秤就可以进行下一批次的计量。下一批次计量完成后，如果液体中间桶分段排料还没完成。粉体磅桶与液体磅桶将不能进行排料，只能待液体中间桶分段排料完成后，方可排料。</w:t>
            </w:r>
          </w:p>
          <w:p>
            <w:pPr>
              <w:pStyle w:val="12"/>
              <w:spacing w:beforeLines="50"/>
              <w:ind w:left="360" w:firstLine="0" w:firstLineChars="0"/>
              <w:rPr>
                <w:rFonts w:ascii="MingLiU" w:hAnsi="MingLiU" w:eastAsia="MingLiU"/>
                <w:sz w:val="24"/>
              </w:rPr>
            </w:pPr>
            <w:r>
              <w:rPr>
                <w:rFonts w:ascii="MingLiU" w:hAnsi="MingLiU" w:eastAsia="宋体"/>
                <w:sz w:val="24"/>
              </w:rPr>
              <w:t>4.</w:t>
            </w:r>
            <w:r>
              <w:rPr>
                <w:rFonts w:hint="eastAsia" w:ascii="MingLiU" w:hAnsi="MingLiU" w:eastAsia="宋体"/>
                <w:sz w:val="24"/>
              </w:rPr>
              <w:t>当粉体不需要分段计量</w:t>
            </w:r>
            <w:r>
              <w:rPr>
                <w:rFonts w:ascii="MingLiU" w:hAnsi="MingLiU" w:eastAsia="宋体"/>
                <w:sz w:val="24"/>
              </w:rPr>
              <w:t>,</w:t>
            </w:r>
            <w:r>
              <w:rPr>
                <w:rFonts w:hint="eastAsia" w:ascii="MingLiU" w:hAnsi="MingLiU" w:eastAsia="宋体"/>
                <w:sz w:val="24"/>
              </w:rPr>
              <w:t>排料动作与原有动作流程相同</w:t>
            </w:r>
            <w:r>
              <w:rPr>
                <w:rFonts w:ascii="MingLiU" w:hAnsi="MingLiU" w:eastAsia="宋体"/>
                <w:sz w:val="24"/>
              </w:rPr>
              <w:t>.</w:t>
            </w:r>
          </w:p>
          <w:p>
            <w:pPr>
              <w:pStyle w:val="12"/>
              <w:ind w:left="360" w:firstLine="0" w:firstLineChars="0"/>
              <w:rPr>
                <w:rFonts w:ascii="MingLiU" w:hAnsi="MingLiU" w:eastAsia="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方案确认客户端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Simang"/>
              </w:rPr>
            </w:pP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确认日期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ascii="Sim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业务员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ascii="Simang"/>
              </w:rPr>
            </w:pP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审核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ascii="Sim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Simang"/>
                <w:b/>
              </w:rPr>
            </w:pPr>
            <w:r>
              <w:rPr>
                <w:rFonts w:hint="eastAsia" w:ascii="Simang" w:hAnsi="Simang" w:cs="PMingLiU"/>
                <w:b/>
                <w:sz w:val="24"/>
              </w:rPr>
              <w:t>方案意见</w:t>
            </w:r>
          </w:p>
        </w:tc>
        <w:tc>
          <w:tcPr>
            <w:tcW w:w="12871" w:type="dxa"/>
            <w:gridSpan w:val="3"/>
            <w:vAlign w:val="center"/>
          </w:tcPr>
          <w:p>
            <w:pPr>
              <w:jc w:val="center"/>
              <w:rPr>
                <w:rFonts w:ascii="Simang"/>
              </w:rPr>
            </w:pPr>
          </w:p>
        </w:tc>
      </w:tr>
    </w:tbl>
    <w:p>
      <w:pPr>
        <w:rPr>
          <w:rFonts w:ascii="Simang"/>
        </w:rPr>
      </w:pPr>
    </w:p>
    <w:sectPr>
      <w:headerReference r:id="rId3" w:type="default"/>
      <w:pgSz w:w="16838" w:h="11906" w:orient="landscape"/>
      <w:pgMar w:top="851" w:right="1440" w:bottom="851" w:left="144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ang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6"/>
      </w:rPr>
    </w:pPr>
    <w:r>
      <w:rPr>
        <w:sz w:val="16"/>
      </w:rPr>
      <w:t>FN: DC180022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C"/>
    <w:rsid w:val="000005ED"/>
    <w:rsid w:val="00000A75"/>
    <w:rsid w:val="00000B11"/>
    <w:rsid w:val="0000163C"/>
    <w:rsid w:val="00002F42"/>
    <w:rsid w:val="000045ED"/>
    <w:rsid w:val="000061C9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C4D"/>
    <w:rsid w:val="001C5DC5"/>
    <w:rsid w:val="001C622E"/>
    <w:rsid w:val="001C6F14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D3"/>
    <w:rsid w:val="00265FE6"/>
    <w:rsid w:val="002674D9"/>
    <w:rsid w:val="00267F5A"/>
    <w:rsid w:val="00271044"/>
    <w:rsid w:val="002712E6"/>
    <w:rsid w:val="0027195A"/>
    <w:rsid w:val="00272D96"/>
    <w:rsid w:val="00273B46"/>
    <w:rsid w:val="0027581D"/>
    <w:rsid w:val="002759DB"/>
    <w:rsid w:val="00276082"/>
    <w:rsid w:val="00276711"/>
    <w:rsid w:val="0027679D"/>
    <w:rsid w:val="0027695F"/>
    <w:rsid w:val="00277225"/>
    <w:rsid w:val="00280590"/>
    <w:rsid w:val="0028063D"/>
    <w:rsid w:val="002810D3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5AB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087D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2B75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4AA6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3A2"/>
    <w:rsid w:val="004846D2"/>
    <w:rsid w:val="004870C9"/>
    <w:rsid w:val="00490247"/>
    <w:rsid w:val="00490FAC"/>
    <w:rsid w:val="0049148F"/>
    <w:rsid w:val="00492C92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CA9"/>
    <w:rsid w:val="00505FB8"/>
    <w:rsid w:val="00507D0F"/>
    <w:rsid w:val="00510C46"/>
    <w:rsid w:val="005112A0"/>
    <w:rsid w:val="00511C41"/>
    <w:rsid w:val="00516844"/>
    <w:rsid w:val="00517829"/>
    <w:rsid w:val="00517F75"/>
    <w:rsid w:val="00520002"/>
    <w:rsid w:val="0052283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C29"/>
    <w:rsid w:val="00666727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2824"/>
    <w:rsid w:val="00694A7B"/>
    <w:rsid w:val="00695592"/>
    <w:rsid w:val="00695BCC"/>
    <w:rsid w:val="00695DE5"/>
    <w:rsid w:val="0069612A"/>
    <w:rsid w:val="00696887"/>
    <w:rsid w:val="006A0571"/>
    <w:rsid w:val="006A0780"/>
    <w:rsid w:val="006A264E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308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A6FFA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39ED"/>
    <w:rsid w:val="007D4CE7"/>
    <w:rsid w:val="007D51CA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391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3882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A8"/>
    <w:rsid w:val="0091450B"/>
    <w:rsid w:val="00914838"/>
    <w:rsid w:val="00914B4D"/>
    <w:rsid w:val="009156DA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1F15"/>
    <w:rsid w:val="009626CE"/>
    <w:rsid w:val="00963A8C"/>
    <w:rsid w:val="009700C3"/>
    <w:rsid w:val="00971323"/>
    <w:rsid w:val="009716A5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2EB7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1D1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0D50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D22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0730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D73A2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1473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265C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2E7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D79"/>
    <w:rsid w:val="00DE72ED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2CA5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347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C01"/>
    <w:rsid w:val="00F956D7"/>
    <w:rsid w:val="00F96A80"/>
    <w:rsid w:val="00FA0A83"/>
    <w:rsid w:val="00FA0AA0"/>
    <w:rsid w:val="00FA3D58"/>
    <w:rsid w:val="00FA4626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  <w:rsid w:val="40AF60F2"/>
    <w:rsid w:val="55D2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 w:locked="1"/>
    <w:lsdException w:qFormat="1" w:unhideWhenUsed="0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ang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rFonts w:ascii="Calibri Light" w:hAnsi="Calibri Light"/>
      <w:sz w:val="18"/>
      <w:szCs w:val="18"/>
    </w:rPr>
  </w:style>
  <w:style w:type="paragraph" w:styleId="3">
    <w:name w:val="footer"/>
    <w:basedOn w:val="1"/>
    <w:link w:val="10"/>
    <w:semiHidden/>
    <w:qFormat/>
    <w:lock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semiHidden/>
    <w:lock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5"/>
    <w:link w:val="2"/>
    <w:locked/>
    <w:uiPriority w:val="99"/>
    <w:rPr>
      <w:rFonts w:ascii="Calibri Light" w:hAnsi="Calibri Light" w:cs="Times New Roman"/>
      <w:kern w:val="2"/>
      <w:sz w:val="18"/>
      <w:szCs w:val="18"/>
    </w:rPr>
  </w:style>
  <w:style w:type="character" w:customStyle="1" w:styleId="10">
    <w:name w:val="Footer Char"/>
    <w:basedOn w:val="5"/>
    <w:link w:val="3"/>
    <w:semiHidden/>
    <w:locked/>
    <w:uiPriority w:val="99"/>
    <w:rPr>
      <w:rFonts w:cs="Times New Roman"/>
      <w:sz w:val="20"/>
      <w:szCs w:val="20"/>
      <w:lang w:eastAsia="zh-CN"/>
    </w:rPr>
  </w:style>
  <w:style w:type="character" w:customStyle="1" w:styleId="11">
    <w:name w:val="Header Char"/>
    <w:basedOn w:val="5"/>
    <w:link w:val="4"/>
    <w:semiHidden/>
    <w:locked/>
    <w:uiPriority w:val="99"/>
    <w:rPr>
      <w:rFonts w:cs="Times New Roman"/>
      <w:sz w:val="20"/>
      <w:szCs w:val="20"/>
      <w:lang w:eastAsia="zh-C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71</Words>
  <Characters>406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2017-01-07T03:11:00Z</dcterms:created>
  <dc:creator>pj187</dc:creator>
  <cp:lastModifiedBy>　♔钱宝贝</cp:lastModifiedBy>
  <cp:lastPrinted>2017-01-07T08:34:00Z</cp:lastPrinted>
  <dcterms:modified xsi:type="dcterms:W3CDTF">2018-09-18T00:27:56Z</dcterms:modified>
  <dc:title>60708-双微磅串联运转解决方案</dc:title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